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D74562">
        <w:rPr>
          <w:rFonts w:asciiTheme="majorHAnsi" w:hAnsiTheme="majorHAnsi"/>
          <w:b/>
          <w:sz w:val="20"/>
          <w:szCs w:val="20"/>
        </w:rPr>
        <w:t xml:space="preserve">Załącznik nr </w:t>
      </w:r>
      <w:bookmarkStart w:id="0" w:name="_GoBack"/>
      <w:bookmarkEnd w:id="0"/>
      <w:r w:rsidR="00741493">
        <w:rPr>
          <w:rFonts w:asciiTheme="majorHAnsi" w:hAnsiTheme="majorHAnsi"/>
          <w:b/>
          <w:i w:val="0"/>
          <w:iCs w:val="0"/>
          <w:sz w:val="20"/>
          <w:szCs w:val="20"/>
        </w:rPr>
        <w:t>6</w:t>
      </w:r>
      <w:r w:rsidR="00782B4E" w:rsidRPr="00D74562">
        <w:rPr>
          <w:rFonts w:asciiTheme="majorHAnsi" w:hAnsiTheme="majorHAnsi"/>
          <w:b/>
          <w:i w:val="0"/>
          <w:iCs w:val="0"/>
          <w:sz w:val="20"/>
          <w:szCs w:val="20"/>
        </w:rPr>
        <w:t>a</w:t>
      </w:r>
      <w:r w:rsidR="00D74562" w:rsidRPr="00D74562">
        <w:rPr>
          <w:b/>
          <w:bCs/>
        </w:rPr>
        <w:t xml:space="preserve"> </w:t>
      </w:r>
      <w:r w:rsidR="00D74562" w:rsidRPr="00D74562">
        <w:rPr>
          <w:rFonts w:asciiTheme="majorHAnsi" w:hAnsiTheme="majorHAnsi"/>
          <w:b/>
          <w:bCs/>
        </w:rPr>
        <w:t>do ogłoszenia</w:t>
      </w:r>
    </w:p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A215BD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D00AA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5848350" cy="51181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</w:t>
      </w:r>
      <w:proofErr w:type="spellStart"/>
      <w:r w:rsidRPr="00847600">
        <w:rPr>
          <w:rFonts w:asciiTheme="majorHAnsi" w:hAnsiTheme="majorHAnsi"/>
          <w:sz w:val="20"/>
          <w:szCs w:val="20"/>
        </w:rPr>
        <w:t>ekosystemowych</w:t>
      </w:r>
      <w:proofErr w:type="spellEnd"/>
      <w:r w:rsidRPr="00847600">
        <w:rPr>
          <w:rFonts w:asciiTheme="majorHAnsi" w:hAnsiTheme="majorHAnsi"/>
          <w:sz w:val="20"/>
          <w:szCs w:val="20"/>
        </w:rPr>
        <w:t>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D4BC0">
        <w:rPr>
          <w:rFonts w:asciiTheme="majorHAnsi" w:hAnsiTheme="majorHAnsi"/>
          <w:b/>
          <w:sz w:val="20"/>
          <w:szCs w:val="20"/>
        </w:rPr>
      </w:r>
      <w:r w:rsidR="001D4BC0">
        <w:rPr>
          <w:rFonts w:asciiTheme="majorHAnsi" w:hAnsiTheme="majorHAnsi"/>
          <w:b/>
          <w:sz w:val="20"/>
          <w:szCs w:val="20"/>
        </w:rPr>
        <w:fldChar w:fldCharType="separate"/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D4BC0">
        <w:rPr>
          <w:rFonts w:asciiTheme="majorHAnsi" w:hAnsiTheme="majorHAnsi"/>
          <w:b/>
          <w:sz w:val="20"/>
          <w:szCs w:val="20"/>
        </w:rPr>
      </w:r>
      <w:r w:rsidR="001D4BC0">
        <w:rPr>
          <w:rFonts w:asciiTheme="majorHAnsi" w:hAnsiTheme="majorHAnsi"/>
          <w:b/>
          <w:sz w:val="20"/>
          <w:szCs w:val="20"/>
        </w:rPr>
        <w:fldChar w:fldCharType="separate"/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1D4BC0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:rsidR="0092014C" w:rsidRPr="00847600" w:rsidRDefault="001D4BC0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1D4BC0">
        <w:rPr>
          <w:rFonts w:asciiTheme="majorHAnsi" w:hAnsiTheme="majorHAnsi"/>
          <w:b/>
          <w:sz w:val="20"/>
          <w:szCs w:val="20"/>
        </w:rPr>
      </w:r>
      <w:r w:rsidR="001D4BC0">
        <w:rPr>
          <w:rFonts w:asciiTheme="majorHAnsi" w:hAnsiTheme="majorHAnsi"/>
          <w:b/>
          <w:sz w:val="20"/>
          <w:szCs w:val="20"/>
        </w:rPr>
        <w:fldChar w:fldCharType="separate"/>
      </w:r>
      <w:r w:rsidR="001D4BC0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1D4BC0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1D4BC0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1D4BC0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1D4BC0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projekty </w:t>
      </w:r>
      <w:proofErr w:type="spellStart"/>
      <w:r w:rsidRPr="00405EED">
        <w:rPr>
          <w:rFonts w:ascii="Cambria" w:hAnsi="Cambria"/>
          <w:sz w:val="20"/>
          <w:szCs w:val="20"/>
        </w:rPr>
        <w:t>nieinfrastrukturalne</w:t>
      </w:r>
      <w:proofErr w:type="spellEnd"/>
      <w:r w:rsidRPr="00405EED">
        <w:rPr>
          <w:rFonts w:ascii="Cambria" w:hAnsi="Cambria"/>
          <w:sz w:val="20"/>
          <w:szCs w:val="20"/>
        </w:rPr>
        <w:t>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1D4BC0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1D4BC0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 xml:space="preserve">wcześniejszego wydania oceny </w:t>
      </w:r>
      <w:proofErr w:type="spellStart"/>
      <w:r w:rsidRPr="00A215BD">
        <w:rPr>
          <w:rFonts w:ascii="Cambria" w:hAnsi="Cambria"/>
          <w:sz w:val="20"/>
          <w:szCs w:val="20"/>
        </w:rPr>
        <w:t>wodnoprawnej</w:t>
      </w:r>
      <w:proofErr w:type="spellEnd"/>
      <w:r w:rsidRPr="00A215BD">
        <w:rPr>
          <w:rFonts w:ascii="Cambria" w:hAnsi="Cambria"/>
          <w:sz w:val="20"/>
          <w:szCs w:val="20"/>
        </w:rPr>
        <w:t xml:space="preserve"> zgodnie z art. 439 Prawo wodne,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1D4BC0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1D4BC0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:rsidR="009511AE" w:rsidRPr="00847600" w:rsidRDefault="001D4BC0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1D4BC0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 xml:space="preserve">Dz. U. z 2016, poz. 2134 </w:t>
      </w:r>
      <w:proofErr w:type="spellStart"/>
      <w:r w:rsidR="00C5339B" w:rsidRPr="00847600">
        <w:rPr>
          <w:rFonts w:asciiTheme="majorHAnsi" w:hAnsiTheme="majorHAnsi" w:cstheme="majorBidi"/>
          <w:iCs/>
          <w:sz w:val="20"/>
          <w:szCs w:val="20"/>
        </w:rPr>
        <w:t>j.t</w:t>
      </w:r>
      <w:proofErr w:type="spellEnd"/>
      <w:r w:rsidR="00C5339B" w:rsidRPr="00847600">
        <w:rPr>
          <w:rFonts w:asciiTheme="majorHAnsi" w:hAnsiTheme="majorHAnsi" w:cstheme="majorBidi"/>
          <w:iCs/>
          <w:sz w:val="20"/>
          <w:szCs w:val="20"/>
        </w:rPr>
        <w:t>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1D4BC0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1D4BC0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0F" w:rsidRDefault="00F5340F">
      <w:r>
        <w:separator/>
      </w:r>
    </w:p>
  </w:endnote>
  <w:endnote w:type="continuationSeparator" w:id="0">
    <w:p w:rsidR="00F5340F" w:rsidRDefault="00F5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1D4BC0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1D4BC0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76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0F" w:rsidRDefault="00F5340F">
      <w:r>
        <w:separator/>
      </w:r>
    </w:p>
  </w:footnote>
  <w:footnote w:type="continuationSeparator" w:id="0">
    <w:p w:rsidR="00F5340F" w:rsidRDefault="00F5340F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</w:t>
      </w:r>
      <w:proofErr w:type="spellStart"/>
      <w:r w:rsidRPr="00187526">
        <w:rPr>
          <w:rFonts w:asciiTheme="majorHAnsi" w:hAnsiTheme="majorHAnsi"/>
          <w:sz w:val="16"/>
          <w:szCs w:val="16"/>
        </w:rPr>
        <w:t>audytowej</w:t>
      </w:r>
      <w:proofErr w:type="spellEnd"/>
      <w:r w:rsidRPr="00187526">
        <w:rPr>
          <w:rFonts w:asciiTheme="majorHAnsi" w:hAnsiTheme="majorHAnsi"/>
          <w:sz w:val="16"/>
          <w:szCs w:val="16"/>
        </w:rPr>
        <w:t xml:space="preserve">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Pr="006D786A" w:rsidRDefault="008E7E54" w:rsidP="007321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C"/>
    <w:rsid w:val="00000965"/>
    <w:rsid w:val="00001CC4"/>
    <w:rsid w:val="000021D7"/>
    <w:rsid w:val="00015D4B"/>
    <w:rsid w:val="00026CC6"/>
    <w:rsid w:val="000317DF"/>
    <w:rsid w:val="00041045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4BC0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42380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07696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059B7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493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82B4E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22AF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A3999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1760D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0A1F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0E8C"/>
    <w:rsid w:val="00C3545F"/>
    <w:rsid w:val="00C5339B"/>
    <w:rsid w:val="00C60A7A"/>
    <w:rsid w:val="00C62121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4562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6456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5340F"/>
    <w:rsid w:val="00F628F3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94BF-72BA-4185-BB76-59CCC8C6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1680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Barbara</cp:lastModifiedBy>
  <cp:revision>6</cp:revision>
  <cp:lastPrinted>2017-02-22T09:17:00Z</cp:lastPrinted>
  <dcterms:created xsi:type="dcterms:W3CDTF">2018-08-01T10:34:00Z</dcterms:created>
  <dcterms:modified xsi:type="dcterms:W3CDTF">2018-11-29T08:34:00Z</dcterms:modified>
</cp:coreProperties>
</file>